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1A" w:rsidRPr="00BA441A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441A">
        <w:rPr>
          <w:rFonts w:ascii="Arial" w:hAnsi="Arial" w:cs="Arial"/>
          <w:b/>
          <w:sz w:val="32"/>
          <w:szCs w:val="32"/>
          <w:lang w:val="ru-RU"/>
        </w:rPr>
        <w:t>0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  <w:r w:rsidRPr="00BA441A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04</w:t>
      </w:r>
      <w:r w:rsidRPr="00BA441A">
        <w:rPr>
          <w:rFonts w:ascii="Arial" w:hAnsi="Arial" w:cs="Arial"/>
          <w:b/>
          <w:sz w:val="32"/>
          <w:szCs w:val="32"/>
          <w:lang w:val="ru-RU"/>
        </w:rPr>
        <w:t>.20</w:t>
      </w:r>
      <w:r>
        <w:rPr>
          <w:rFonts w:ascii="Arial" w:hAnsi="Arial" w:cs="Arial"/>
          <w:b/>
          <w:sz w:val="32"/>
          <w:szCs w:val="32"/>
          <w:lang w:val="ru-RU"/>
        </w:rPr>
        <w:t>20</w:t>
      </w:r>
      <w:r w:rsidRPr="00BA441A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ru-RU"/>
        </w:rPr>
        <w:t>47</w:t>
      </w:r>
    </w:p>
    <w:p w:rsidR="00BA441A" w:rsidRPr="00BA441A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441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A441A" w:rsidRPr="00BA441A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441A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A441A" w:rsidRPr="00BA441A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441A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BA441A" w:rsidRPr="00BD59D2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A441A" w:rsidRPr="00BD59D2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A441A" w:rsidRPr="00BD59D2" w:rsidRDefault="00BA441A" w:rsidP="00BA44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A441A" w:rsidRDefault="00BA441A" w:rsidP="00BA441A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7"/>
          <w:szCs w:val="27"/>
          <w:lang w:val="ru-RU"/>
        </w:rPr>
      </w:pPr>
    </w:p>
    <w:p w:rsidR="00BA441A" w:rsidRPr="00BA441A" w:rsidRDefault="00BA441A" w:rsidP="00BA441A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7"/>
          <w:szCs w:val="27"/>
          <w:lang w:val="ru-RU"/>
        </w:rPr>
      </w:pPr>
      <w:r>
        <w:rPr>
          <w:rFonts w:ascii="Arial" w:hAnsi="Arial" w:cs="Arial"/>
          <w:b/>
          <w:bCs/>
          <w:kern w:val="36"/>
          <w:sz w:val="27"/>
          <w:szCs w:val="27"/>
          <w:lang w:val="ru-RU"/>
        </w:rPr>
        <w:t>ОБ УТВЕРЖДЕНИИ МУНИЦИПАЛЬНОЙ ПРОГРАММЫ «ТЕРРИТОРИАЛЬНОЕ ПЛАНИРОВАНИЕ И ГРАДОСТРОИТЕЛЬНОЕ ЗОНИРОВАНИЕ В МУНИЦИПАЛЬНОМ ОБРАЗОВАНИИ «БАЯНДАЙ» НА 2020-2025 ГОДЫ»</w:t>
      </w:r>
    </w:p>
    <w:p w:rsidR="00BA441A" w:rsidRPr="00BA441A" w:rsidRDefault="00BA441A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1. ПАСПОРТ МУНИЦИПАЛЬНОЙ ПРОГРАММЫ</w:t>
      </w:r>
      <w:r>
        <w:rPr>
          <w:rFonts w:ascii="Arial" w:eastAsia="Times New Roman" w:hAnsi="Arial" w:cs="Arial"/>
          <w:lang w:val="ru-RU" w:eastAsia="ru-RU" w:bidi="ar-SA"/>
        </w:rPr>
        <w:t xml:space="preserve"> </w:t>
      </w:r>
      <w:r w:rsidRPr="00BA441A">
        <w:rPr>
          <w:rFonts w:ascii="Arial" w:eastAsia="Times New Roman" w:hAnsi="Arial" w:cs="Arial"/>
          <w:lang w:val="ru-RU" w:eastAsia="ru-RU" w:bidi="ar-SA"/>
        </w:rPr>
        <w:t>МУНИЦИПАЛЬНОГО ОБРАЗОВАНИЯ</w:t>
      </w:r>
      <w:r>
        <w:rPr>
          <w:rFonts w:ascii="Arial" w:eastAsia="Times New Roman" w:hAnsi="Arial" w:cs="Arial"/>
          <w:lang w:val="ru-RU" w:eastAsia="ru-RU" w:bidi="ar-SA"/>
        </w:rPr>
        <w:t xml:space="preserve"> «БАЯНДАЙ»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7473"/>
      </w:tblGrid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 xml:space="preserve">Территориальное планирование и градостроительное зонирование в муниципальном образовании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«Баяндай» 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на 2020 - 2025 гг.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Ответственный исполнитель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А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 xml:space="preserve">дминистрация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муниципального образования «Баяндай»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Обеспечение устойчивого развития территории муниципального образования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- Актуализация (внесение изменений) в действующий генеральный план муниципального образования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;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-Актуализация (внесение изменений) в действующие правила землепользования и застройки муниципального образования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;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2020 – 2025 гг.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Обеспеченность территории муниципального образования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законодательства о градостроительной деятельности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Отсутствуют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1.Разработка проекта внесения изменений в генеральный план.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2.Разработка проекта внесения изменений в правила землепользования и застройки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07"/>
            </w:tblGrid>
            <w:tr w:rsidR="00BA441A" w:rsidRPr="00BA441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79"/>
                    <w:gridCol w:w="1870"/>
                    <w:gridCol w:w="618"/>
                    <w:gridCol w:w="885"/>
                    <w:gridCol w:w="528"/>
                    <w:gridCol w:w="1461"/>
                  </w:tblGrid>
                  <w:tr w:rsidR="00BA441A" w:rsidRPr="00BA441A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Период реализации программы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Объем финансирования, тыс. руб.</w:t>
                        </w:r>
                      </w:p>
                    </w:tc>
                  </w:tr>
                  <w:tr w:rsidR="00BA441A" w:rsidRPr="00BA441A"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Финансовые средства, всего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В том числе по источникам:</w:t>
                        </w:r>
                      </w:p>
                    </w:tc>
                  </w:tr>
                  <w:tr w:rsidR="00BA441A" w:rsidRPr="00BA441A"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МБ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ОБ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ФБ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Иные источники</w:t>
                        </w:r>
                      </w:p>
                    </w:tc>
                  </w:tr>
                  <w:tr w:rsidR="00BA441A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Всего за весь период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1744</w:t>
                        </w: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,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69,7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1674,9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BA441A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в том числе по годам: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</w:p>
                    </w:tc>
                  </w:tr>
                  <w:tr w:rsidR="00BA441A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2020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BA441A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0659D9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2021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1744,7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F656AC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69,7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F656AC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1674,9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0659D9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2022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0659D9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2023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0659D9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2024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0659D9" w:rsidRPr="00BA441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b/>
                            <w:bCs/>
                            <w:lang w:val="ru-RU" w:eastAsia="ru-RU" w:bidi="ar-SA"/>
                          </w:rPr>
                          <w:t>2025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441A" w:rsidRPr="00BA441A" w:rsidRDefault="000659D9" w:rsidP="00BA441A">
                        <w:pPr>
                          <w:widowControl/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</w:pPr>
                        <w:r w:rsidRPr="00BA441A">
                          <w:rPr>
                            <w:rFonts w:ascii="Arial" w:eastAsia="Times New Roman" w:hAnsi="Arial" w:cs="Arial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</w:tbl>
                <w:p w:rsidR="00BA441A" w:rsidRPr="00BA441A" w:rsidRDefault="00BA441A" w:rsidP="00BA441A">
                  <w:pPr>
                    <w:widowControl/>
                    <w:rPr>
                      <w:rFonts w:ascii="Arial" w:eastAsia="Times New Roman" w:hAnsi="Arial" w:cs="Arial"/>
                      <w:lang w:val="ru-RU" w:eastAsia="ru-RU" w:bidi="ar-SA"/>
                    </w:rPr>
                  </w:pPr>
                </w:p>
              </w:tc>
            </w:tr>
          </w:tbl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-</w:t>
            </w:r>
          </w:p>
        </w:tc>
      </w:tr>
      <w:tr w:rsidR="00BA441A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Обеспеченность территории муниципального образования</w:t>
            </w:r>
            <w:r w:rsidR="000659D9"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 xml:space="preserve"> актуализированными документами территориального</w:t>
            </w:r>
            <w:r w:rsidR="000659D9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планирования, градостроительного зонирования в соответствие с основными принципами законодательства о градостроительной деятельности.</w:t>
            </w:r>
          </w:p>
        </w:tc>
      </w:tr>
    </w:tbl>
    <w:p w:rsidR="00BA441A" w:rsidRPr="00BA441A" w:rsidRDefault="00BA441A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2. ХАРАКТЕРИСТИКА ТЕКУЩЕГО СОСТОЯНИЯ СФЕРЫ РЕАЛИЗАЦИИ МУНИЦИПАЛЬНОЙ ПРОГРАММЫ</w:t>
      </w:r>
    </w:p>
    <w:p w:rsidR="000659D9" w:rsidRPr="00DA26BB" w:rsidRDefault="000659D9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9A1F07" w:rsidRPr="00DA26BB" w:rsidRDefault="000659D9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DA26BB"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Основной документ территориального планирования  муниципального образования</w:t>
      </w:r>
      <w:r w:rsidRPr="00DA26BB">
        <w:rPr>
          <w:rFonts w:ascii="Arial" w:eastAsia="Times New Roman" w:hAnsi="Arial" w:cs="Arial"/>
          <w:lang w:val="ru-RU" w:eastAsia="ru-RU" w:bidi="ar-SA"/>
        </w:rPr>
        <w:t xml:space="preserve"> «Баяндай»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- Генеральный план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Баяндаевского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района Иркутской области, утвержден решением Думы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МО «Баяндай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от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31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.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07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.201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3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г.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 № 5.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</w:t>
      </w:r>
    </w:p>
    <w:p w:rsidR="00BA441A" w:rsidRPr="00BA441A" w:rsidRDefault="009A1F07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DA26BB">
        <w:rPr>
          <w:rFonts w:ascii="Arial" w:eastAsia="Times New Roman" w:hAnsi="Arial" w:cs="Arial"/>
          <w:lang w:val="ru-RU" w:eastAsia="ru-RU" w:bidi="ar-SA"/>
        </w:rPr>
        <w:lastRenderedPageBreak/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Основной документ градостроительного зонирования - правила землепользования и застройки муниципального образования</w:t>
      </w:r>
      <w:r w:rsidRPr="00DA26BB">
        <w:rPr>
          <w:rFonts w:ascii="Arial" w:eastAsia="Times New Roman" w:hAnsi="Arial" w:cs="Arial"/>
          <w:lang w:val="ru-RU" w:eastAsia="ru-RU" w:bidi="ar-SA"/>
        </w:rPr>
        <w:t xml:space="preserve"> «Баяндай» Баяндаевского района Иркутской области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, утверждены Решением Думы </w:t>
      </w:r>
      <w:r w:rsidRPr="00DA26BB">
        <w:rPr>
          <w:rFonts w:ascii="Arial" w:eastAsia="Times New Roman" w:hAnsi="Arial" w:cs="Arial"/>
          <w:lang w:val="ru-RU" w:eastAsia="ru-RU" w:bidi="ar-SA"/>
        </w:rPr>
        <w:t xml:space="preserve">МО «Баяндай»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от </w:t>
      </w:r>
      <w:r w:rsidRPr="00DA26BB">
        <w:rPr>
          <w:rFonts w:ascii="Arial" w:eastAsia="Times New Roman" w:hAnsi="Arial" w:cs="Arial"/>
          <w:lang w:val="ru-RU" w:eastAsia="ru-RU" w:bidi="ar-SA"/>
        </w:rPr>
        <w:t>25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.</w:t>
      </w:r>
      <w:r w:rsidRPr="00DA26BB">
        <w:rPr>
          <w:rFonts w:ascii="Arial" w:eastAsia="Times New Roman" w:hAnsi="Arial" w:cs="Arial"/>
          <w:lang w:val="ru-RU" w:eastAsia="ru-RU" w:bidi="ar-SA"/>
        </w:rPr>
        <w:t>12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.2013 г. №</w:t>
      </w:r>
      <w:r w:rsidRPr="00DA26BB">
        <w:rPr>
          <w:rFonts w:ascii="Arial" w:eastAsia="Times New Roman" w:hAnsi="Arial" w:cs="Arial"/>
          <w:lang w:val="ru-RU" w:eastAsia="ru-RU" w:bidi="ar-SA"/>
        </w:rPr>
        <w:t xml:space="preserve"> 6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, так же подлежит корректировке.</w:t>
      </w:r>
    </w:p>
    <w:p w:rsidR="00DA26BB" w:rsidRPr="00DA26BB" w:rsidRDefault="009A1F07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DA26BB">
        <w:rPr>
          <w:rFonts w:ascii="Arial" w:eastAsia="Times New Roman" w:hAnsi="Arial" w:cs="Arial"/>
          <w:lang w:val="ru-RU" w:eastAsia="ru-RU" w:bidi="ar-SA"/>
        </w:rPr>
        <w:tab/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t>Федеральным законом от 31.12.2017 N 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</w:t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t>Формы графического и текстового описания местоположения границ территориальных зон, </w:t>
      </w:r>
      <w:hyperlink r:id="rId5" w:anchor="dst100145" w:history="1">
        <w:r w:rsidR="00BA441A" w:rsidRPr="00DA26BB">
          <w:rPr>
            <w:rFonts w:ascii="Arial" w:eastAsia="Times New Roman" w:hAnsi="Arial" w:cs="Arial"/>
            <w:lang w:val="ru-RU" w:eastAsia="ru-RU" w:bidi="ar-SA"/>
          </w:rPr>
          <w:t>требования</w:t>
        </w:r>
      </w:hyperlink>
      <w:r w:rsidR="00BA441A" w:rsidRPr="00BA441A">
        <w:rPr>
          <w:rFonts w:ascii="Arial" w:eastAsia="Times New Roman" w:hAnsi="Arial" w:cs="Arial"/>
          <w:lang w:val="ru-RU" w:eastAsia="ru-RU" w:bidi="ar-SA"/>
        </w:rPr>
        <w:t> 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с ним, предоставления сведений, содержащихся в Едином государственном реестре недвижимости.</w:t>
      </w: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DA26BB">
        <w:rPr>
          <w:rFonts w:ascii="Arial" w:eastAsia="Times New Roman" w:hAnsi="Arial" w:cs="Arial"/>
          <w:lang w:val="ru-RU" w:eastAsia="ru-RU" w:bidi="ar-SA"/>
        </w:rPr>
        <w:tab/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обеспечения внесения таких сведений в Единый государственный реестр недвижимости в срок не позднее 1 января 2021 года.</w:t>
      </w: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DA26BB">
        <w:rPr>
          <w:rFonts w:ascii="Arial" w:eastAsia="Times New Roman" w:hAnsi="Arial" w:cs="Arial"/>
          <w:lang w:val="ru-RU" w:eastAsia="ru-RU" w:bidi="ar-SA"/>
        </w:rPr>
        <w:tab/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t>С 01.01.2021</w:t>
      </w:r>
      <w:r w:rsidRPr="00DA26BB">
        <w:rPr>
          <w:rFonts w:ascii="Arial" w:eastAsia="Times New Roman" w:hAnsi="Arial" w:cs="Arial"/>
          <w:lang w:val="ru-RU" w:eastAsia="ru-RU" w:bidi="ar-SA"/>
        </w:rPr>
        <w:t xml:space="preserve">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в пределах установленных полномочий органов местного самоуправления.</w:t>
      </w:r>
    </w:p>
    <w:p w:rsidR="00DA26BB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A441A" w:rsidRDefault="00BA441A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3. ЦЕЛЬ, ЗАДАЧИ И ПЕРЕЧЕНЬ ПОДПРОГРАММ МУНИЦИПАЛЬНОЙ ПРОГРАММЫ</w:t>
      </w:r>
    </w:p>
    <w:p w:rsidR="00AD6CBA" w:rsidRPr="00BA441A" w:rsidRDefault="00AD6CBA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Целями муниципальной программы являются: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br/>
      </w: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- создание условий для реализации пространственных интересов муниципального образования с учетом требований безопасности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lastRenderedPageBreak/>
        <w:t>жизнедеятельности, экологического и санитарного благополучия;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br/>
      </w: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</w:t>
      </w:r>
      <w:r>
        <w:rPr>
          <w:rFonts w:ascii="Arial" w:eastAsia="Times New Roman" w:hAnsi="Arial" w:cs="Arial"/>
          <w:lang w:val="ru-RU" w:eastAsia="ru-RU" w:bidi="ar-SA"/>
        </w:rPr>
        <w:t xml:space="preserve">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создание условий для повышения инвестиционной привлекательности поселения;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br/>
      </w: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</w:t>
      </w:r>
      <w:r>
        <w:rPr>
          <w:rFonts w:ascii="Arial" w:eastAsia="Times New Roman" w:hAnsi="Arial" w:cs="Arial"/>
          <w:lang w:val="ru-RU" w:eastAsia="ru-RU" w:bidi="ar-SA"/>
        </w:rPr>
        <w:t xml:space="preserve">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актуализация градостроительной документации;</w:t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br/>
        <w:t>-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br/>
        <w:t>-создание условий для повышения качества предоставления муниципальных услуг в сфере градостроительства;</w:t>
      </w:r>
    </w:p>
    <w:p w:rsidR="00BA441A" w:rsidRPr="00BA441A" w:rsidRDefault="00BA441A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br/>
      </w:r>
      <w:r w:rsidR="00DA26BB">
        <w:rPr>
          <w:rFonts w:ascii="Arial" w:eastAsia="Times New Roman" w:hAnsi="Arial" w:cs="Arial"/>
          <w:lang w:val="ru-RU" w:eastAsia="ru-RU" w:bidi="ar-SA"/>
        </w:rPr>
        <w:tab/>
      </w:r>
      <w:r w:rsidRPr="00BA441A">
        <w:rPr>
          <w:rFonts w:ascii="Arial" w:eastAsia="Times New Roman" w:hAnsi="Arial" w:cs="Arial"/>
          <w:lang w:val="ru-RU" w:eastAsia="ru-RU" w:bidi="ar-SA"/>
        </w:rPr>
        <w:t>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  <w:r w:rsidRPr="00BA441A">
        <w:rPr>
          <w:rFonts w:ascii="Arial" w:eastAsia="Times New Roman" w:hAnsi="Arial" w:cs="Arial"/>
          <w:lang w:val="ru-RU" w:eastAsia="ru-RU" w:bidi="ar-SA"/>
        </w:rPr>
        <w:br/>
      </w:r>
      <w:r w:rsidR="00DA26BB">
        <w:rPr>
          <w:rFonts w:ascii="Arial" w:eastAsia="Times New Roman" w:hAnsi="Arial" w:cs="Arial"/>
          <w:lang w:val="ru-RU" w:eastAsia="ru-RU" w:bidi="ar-SA"/>
        </w:rPr>
        <w:tab/>
      </w:r>
      <w:r w:rsidRPr="00BA441A">
        <w:rPr>
          <w:rFonts w:ascii="Arial" w:eastAsia="Times New Roman" w:hAnsi="Arial" w:cs="Arial"/>
          <w:lang w:val="ru-RU" w:eastAsia="ru-RU" w:bidi="ar-SA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увеличить объемы налоговых поступлений в бюджеты всех уровней</w:t>
      </w:r>
      <w:r>
        <w:rPr>
          <w:rFonts w:ascii="Arial" w:eastAsia="Times New Roman" w:hAnsi="Arial" w:cs="Arial"/>
          <w:lang w:val="ru-RU" w:eastAsia="ru-RU" w:bidi="ar-SA"/>
        </w:rPr>
        <w:t>.</w:t>
      </w:r>
    </w:p>
    <w:p w:rsidR="00BA441A" w:rsidRDefault="00BA441A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  <w:r w:rsidRPr="00BA441A">
        <w:rPr>
          <w:rFonts w:ascii="Arial" w:eastAsia="Times New Roman" w:hAnsi="Arial" w:cs="Arial"/>
          <w:lang w:val="ru-RU" w:eastAsia="ru-RU" w:bidi="ar-SA"/>
        </w:rPr>
        <w:br/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DA26BB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Задачи программы:</w:t>
      </w: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- </w:t>
      </w:r>
      <w:r>
        <w:rPr>
          <w:rFonts w:ascii="Arial" w:eastAsia="Times New Roman" w:hAnsi="Arial" w:cs="Arial"/>
          <w:lang w:val="ru-RU" w:eastAsia="ru-RU" w:bidi="ar-SA"/>
        </w:rPr>
        <w:t>а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ктуализация (внесение изменений) в действующий генеральный план;</w:t>
      </w:r>
    </w:p>
    <w:p w:rsidR="00BA441A" w:rsidRPr="00BA441A" w:rsidRDefault="00DA26BB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- </w:t>
      </w:r>
      <w:r>
        <w:rPr>
          <w:rFonts w:ascii="Arial" w:eastAsia="Times New Roman" w:hAnsi="Arial" w:cs="Arial"/>
          <w:lang w:val="ru-RU" w:eastAsia="ru-RU" w:bidi="ar-SA"/>
        </w:rPr>
        <w:t>а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ктуализация (внесение изменений) в правила землепользования и застройки;</w:t>
      </w:r>
    </w:p>
    <w:p w:rsidR="00BA441A" w:rsidRPr="00BA441A" w:rsidRDefault="00BA441A" w:rsidP="00DA26BB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Выделение подпрограмм в муниципальной программе не предусмотрено</w:t>
      </w:r>
    </w:p>
    <w:p w:rsidR="00BA441A" w:rsidRDefault="00BA441A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4. РЕСУРСНОЕ ОБЕСПЕЧЕНИЕ МУНИЦИПАЛЬНОЙ ПРОГРАММЫ</w:t>
      </w:r>
    </w:p>
    <w:p w:rsidR="000559A4" w:rsidRPr="00BA441A" w:rsidRDefault="00DA26BB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proofErr w:type="gramStart"/>
      <w:r>
        <w:rPr>
          <w:rFonts w:ascii="Arial" w:eastAsia="Times New Roman" w:hAnsi="Arial" w:cs="Arial"/>
          <w:lang w:val="ru-RU" w:eastAsia="ru-RU" w:bidi="ar-SA"/>
        </w:rPr>
        <w:t>Ресурсное обеспечение муниципальной программы планируется в рамках реализации государственной программы Иркутской области «Развитие и управление имущественным комплексом и земельными ресурсами Иркутской области на 2018-2022 годы», подпрограммы «Обеспечение комплексного пространственного и территориального развития Иркутской области на 2018-2022 годы</w:t>
      </w:r>
      <w:r w:rsidR="000559A4">
        <w:rPr>
          <w:rFonts w:ascii="Arial" w:eastAsia="Times New Roman" w:hAnsi="Arial" w:cs="Arial"/>
          <w:lang w:val="ru-RU" w:eastAsia="ru-RU" w:bidi="ar-SA"/>
        </w:rPr>
        <w:t xml:space="preserve">» при условии обеспечения </w:t>
      </w:r>
      <w:proofErr w:type="spellStart"/>
      <w:r w:rsidR="000559A4">
        <w:rPr>
          <w:rFonts w:ascii="Arial" w:eastAsia="Times New Roman" w:hAnsi="Arial" w:cs="Arial"/>
          <w:lang w:val="ru-RU" w:eastAsia="ru-RU" w:bidi="ar-SA"/>
        </w:rPr>
        <w:t>софинансирования</w:t>
      </w:r>
      <w:proofErr w:type="spellEnd"/>
      <w:r w:rsidR="000559A4">
        <w:rPr>
          <w:rFonts w:ascii="Arial" w:eastAsia="Times New Roman" w:hAnsi="Arial" w:cs="Arial"/>
          <w:lang w:val="ru-RU" w:eastAsia="ru-RU" w:bidi="ar-SA"/>
        </w:rPr>
        <w:t xml:space="preserve"> мероприятий за счет средств местного бюджета в соответствии с распоряжением правительства Иркутской области от 04.10.2018 г. № 746-РП.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2632"/>
        <w:gridCol w:w="742"/>
        <w:gridCol w:w="1063"/>
        <w:gridCol w:w="589"/>
        <w:gridCol w:w="1085"/>
        <w:gridCol w:w="595"/>
      </w:tblGrid>
      <w:tr w:rsidR="00BA441A" w:rsidRPr="00BA441A" w:rsidTr="00BA441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Период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Объем финансирования, тыс. руб.</w:t>
            </w:r>
          </w:p>
        </w:tc>
      </w:tr>
      <w:tr w:rsidR="00BA441A" w:rsidRPr="00BA441A" w:rsidTr="00BA441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Финансовые средства, всего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В том числе по источникам:</w:t>
            </w:r>
          </w:p>
        </w:tc>
      </w:tr>
      <w:tr w:rsidR="00BA441A" w:rsidRPr="00BA441A" w:rsidTr="00BA441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МБ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ФБ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Иные источники</w:t>
            </w: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Всего за 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F656AC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>1744</w:t>
            </w:r>
            <w:r w:rsidRPr="00BA441A"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F656AC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69,7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F656AC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1674,9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BA441A" w:rsidRDefault="000559A4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BA441A" w:rsidRDefault="000559A4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BA441A" w:rsidRDefault="000559A4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BA441A" w:rsidRDefault="000559A4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BA441A" w:rsidRDefault="000559A4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BA441A" w:rsidRDefault="000559A4" w:rsidP="00BA441A">
            <w:pPr>
              <w:widowControl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1744,7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69,7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1674,9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</w:tr>
      <w:tr w:rsidR="000559A4" w:rsidRPr="00BA441A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A441A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</w:tr>
    </w:tbl>
    <w:p w:rsidR="00BA441A" w:rsidRPr="00BA441A" w:rsidRDefault="00BA441A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5. ОЖИДАЕМЫЕ РЕЗУЛЬТАТЫ РЕАЛИЗАЦИИ МУНИЦИПАЛЬНОЙ ПРОГРАММЫ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Основными ожидаемыми результатами реализации Программы являются: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актуализация генерального плана поселения;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актуализация правил землепользования и застройки поселения</w:t>
      </w:r>
      <w:r>
        <w:rPr>
          <w:rFonts w:ascii="Arial" w:eastAsia="Times New Roman" w:hAnsi="Arial" w:cs="Arial"/>
          <w:lang w:val="ru-RU" w:eastAsia="ru-RU" w:bidi="ar-SA"/>
        </w:rPr>
        <w:t>.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Реализация муниципальной программы вносит существенный вклад в достижение показателей социально-экономического развития поселения и соответствует её </w:t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t>цели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 xml:space="preserve"> и задачи в части создания условий для привлечения инвестиций в развитие муниципального образования.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Реализация муниципальной программы позволит создать условия для дальнейшего сбалансированного развития территории поселения, а также пространства жизнедеятельности человека и городской среды.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В результате ожидается достижение следующих результатов: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обеспеченность территории поселения актуализированным генеральным планом;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обеспеченность территории поселения актуализированными правилами землепользования и застройки</w:t>
      </w:r>
      <w:r>
        <w:rPr>
          <w:rFonts w:ascii="Arial" w:eastAsia="Times New Roman" w:hAnsi="Arial" w:cs="Arial"/>
          <w:lang w:val="ru-RU" w:eastAsia="ru-RU" w:bidi="ar-SA"/>
        </w:rPr>
        <w:t xml:space="preserve"> 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t>в соответствии с основными принципами законодательства о градостроительной деятельности.</w:t>
      </w:r>
    </w:p>
    <w:p w:rsidR="00BA441A" w:rsidRPr="00BA441A" w:rsidRDefault="00BA441A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6. РИСКИ РЕАЛИЗАЦИИ МУНИЦИПАЛЬНОЙ ПРОГРАММЫ</w:t>
      </w:r>
    </w:p>
    <w:p w:rsidR="000559A4" w:rsidRDefault="00BA441A" w:rsidP="000559A4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Рисками реализации муниципальной программы являются:</w:t>
      </w:r>
    </w:p>
    <w:p w:rsidR="000559A4" w:rsidRDefault="000559A4" w:rsidP="000559A4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1. Неисполнение обязатель</w:t>
      </w:r>
      <w:proofErr w:type="gramStart"/>
      <w:r w:rsidR="00BA441A" w:rsidRPr="00BA441A">
        <w:rPr>
          <w:rFonts w:ascii="Arial" w:eastAsia="Times New Roman" w:hAnsi="Arial" w:cs="Arial"/>
          <w:lang w:val="ru-RU" w:eastAsia="ru-RU" w:bidi="ar-SA"/>
        </w:rPr>
        <w:t>ств ст</w:t>
      </w:r>
      <w:proofErr w:type="gramEnd"/>
      <w:r w:rsidR="00BA441A" w:rsidRPr="00BA441A">
        <w:rPr>
          <w:rFonts w:ascii="Arial" w:eastAsia="Times New Roman" w:hAnsi="Arial" w:cs="Arial"/>
          <w:lang w:val="ru-RU" w:eastAsia="ru-RU" w:bidi="ar-SA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BA441A" w:rsidRPr="00BA441A" w:rsidRDefault="000559A4" w:rsidP="000559A4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BA441A" w:rsidRPr="00BA441A" w:rsidRDefault="00BA441A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 xml:space="preserve">Если начальная (максимальная) цена контракта (цена лота) превышает 50 млн. руб., Заказчик, уполномоченный орган обязаны </w:t>
      </w:r>
      <w:r w:rsidRPr="00BA441A">
        <w:rPr>
          <w:rFonts w:ascii="Arial" w:eastAsia="Times New Roman" w:hAnsi="Arial" w:cs="Arial"/>
          <w:lang w:val="ru-RU" w:eastAsia="ru-RU" w:bidi="ar-SA"/>
        </w:rPr>
        <w:lastRenderedPageBreak/>
        <w:t>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>), в размере, не превышающем на двадцать процентов размер аванса, но не менее чем размер аванса.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BA441A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BA441A" w:rsidRPr="00BA441A" w:rsidRDefault="00BA441A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BA441A" w:rsidRPr="00BA441A" w:rsidRDefault="000559A4" w:rsidP="00AD6CBA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A441A" w:rsidRPr="00BA441A">
        <w:rPr>
          <w:rFonts w:ascii="Arial" w:eastAsia="Times New Roman" w:hAnsi="Arial" w:cs="Arial"/>
          <w:lang w:val="ru-RU" w:eastAsia="ru-RU" w:bidi="ar-SA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  <w:r w:rsidR="00BA441A" w:rsidRPr="00BA441A">
        <w:rPr>
          <w:rFonts w:ascii="Arial" w:eastAsia="Times New Roman" w:hAnsi="Arial" w:cs="Arial"/>
          <w:lang w:val="ru-RU" w:eastAsia="ru-RU" w:bidi="ar-SA"/>
        </w:rPr>
        <w:br w:type="textWrapping" w:clear="all"/>
      </w:r>
    </w:p>
    <w:p w:rsidR="00BA441A" w:rsidRDefault="00BA441A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7. СИСТЕМА МЕРОПРИЯТИЙ МУНИЦИПАЛЬНОЙ ПРОГРАММЫ</w:t>
      </w:r>
    </w:p>
    <w:p w:rsidR="000559A4" w:rsidRPr="00BA441A" w:rsidRDefault="000559A4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1447"/>
        <w:gridCol w:w="1070"/>
        <w:gridCol w:w="426"/>
        <w:gridCol w:w="850"/>
        <w:gridCol w:w="425"/>
        <w:gridCol w:w="331"/>
        <w:gridCol w:w="312"/>
        <w:gridCol w:w="491"/>
        <w:gridCol w:w="1276"/>
        <w:gridCol w:w="1276"/>
        <w:gridCol w:w="1208"/>
      </w:tblGrid>
      <w:tr w:rsidR="00BA441A" w:rsidRPr="00BA441A" w:rsidTr="00BB2861">
        <w:tc>
          <w:tcPr>
            <w:tcW w:w="3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№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основного мероприятия</w:t>
            </w:r>
          </w:p>
        </w:tc>
        <w:tc>
          <w:tcPr>
            <w:tcW w:w="10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Объем финансирования всего, тыс.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8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Ответственный исполнитель или соисполнитель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  <w:tc>
          <w:tcPr>
            <w:tcW w:w="12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Показатель результативности подпрограммы</w:t>
            </w:r>
          </w:p>
        </w:tc>
      </w:tr>
      <w:tr w:rsidR="00BB2861" w:rsidRPr="00BA441A" w:rsidTr="00BB2861">
        <w:trPr>
          <w:cantSplit/>
          <w:trHeight w:val="1134"/>
        </w:trPr>
        <w:tc>
          <w:tcPr>
            <w:tcW w:w="3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441A" w:rsidRPr="00BA441A" w:rsidRDefault="00BA441A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441A" w:rsidRPr="00BA441A" w:rsidRDefault="00BA441A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441A" w:rsidRPr="00BA441A" w:rsidRDefault="00BA441A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441A" w:rsidRPr="00BA441A" w:rsidRDefault="00BA441A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441A" w:rsidRPr="00BA441A" w:rsidRDefault="00BA441A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441A" w:rsidRPr="00BA441A" w:rsidRDefault="00BA441A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Разработка проекта внесения изменений в генеральн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lastRenderedPageBreak/>
              <w:t>ый план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lastRenderedPageBreak/>
              <w:t>763,6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763,6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Администрация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Безвозмездные поступления от других бюджетов 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lastRenderedPageBreak/>
              <w:t>бюджетной системы РФ/ Налоговые и неналоговые доходы бюджета поселения</w:t>
            </w:r>
          </w:p>
        </w:tc>
        <w:tc>
          <w:tcPr>
            <w:tcW w:w="12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lastRenderedPageBreak/>
              <w:t>1ед.</w:t>
            </w: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О.б.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733,1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733,1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М.б.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30,5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30,5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981,1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981,1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1ед.</w:t>
            </w: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О.б.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941,8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941,8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М.б.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B2861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39,3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39,3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О.б.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B2861" w:rsidRPr="00BA441A" w:rsidTr="00BB2861"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М.б.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</w:tbl>
    <w:p w:rsidR="00BA441A" w:rsidRPr="00BA441A" w:rsidRDefault="00BA441A" w:rsidP="00BA441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8. ПОКАЗАТЕЛИ РЕЗУЛЬТАТИВНОСТИ МУНИЦИПАЛЬНОЙ ПРОГРАММЫ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070"/>
        <w:gridCol w:w="658"/>
        <w:gridCol w:w="1808"/>
        <w:gridCol w:w="709"/>
        <w:gridCol w:w="709"/>
        <w:gridCol w:w="709"/>
        <w:gridCol w:w="708"/>
        <w:gridCol w:w="709"/>
        <w:gridCol w:w="783"/>
      </w:tblGrid>
      <w:tr w:rsidR="00BA441A" w:rsidRPr="00BA441A" w:rsidTr="00BB2861">
        <w:tc>
          <w:tcPr>
            <w:tcW w:w="6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№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 показателя результативности</w:t>
            </w:r>
          </w:p>
        </w:tc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Ед. </w:t>
            </w:r>
            <w:proofErr w:type="spellStart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изм</w:t>
            </w:r>
            <w:proofErr w:type="spellEnd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8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Базовое значение</w:t>
            </w:r>
            <w:r w:rsidR="00BB286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показателя</w:t>
            </w:r>
            <w:r w:rsidR="00BB286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результативности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за 2019год</w:t>
            </w:r>
          </w:p>
        </w:tc>
        <w:tc>
          <w:tcPr>
            <w:tcW w:w="432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BB2861" w:rsidRPr="00BA441A" w:rsidTr="00BB2861">
        <w:tc>
          <w:tcPr>
            <w:tcW w:w="6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2020год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2021год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2022год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2025 год</w:t>
            </w:r>
          </w:p>
        </w:tc>
      </w:tr>
      <w:tr w:rsidR="00BB2861" w:rsidRPr="00BA441A" w:rsidTr="00BB2861"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BB2861" w:rsidRPr="00BA441A" w:rsidTr="00BB2861"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Актуализация генерального плана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Ед.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B286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AD6CBA" w:rsidRPr="00BA441A" w:rsidTr="00BB2861"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Актуализация правил землепользования и застройки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Ед.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Default="00AD6CB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BA" w:rsidRPr="00BA441A" w:rsidRDefault="00AD6CB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</w:tbl>
    <w:p w:rsidR="001E1C86" w:rsidRDefault="001E1C86"/>
    <w:sectPr w:rsidR="001E1C86" w:rsidSect="00AD6C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1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59A4"/>
    <w:rsid w:val="00063B08"/>
    <w:rsid w:val="000659D9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D084E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1F07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6CBA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41A"/>
    <w:rsid w:val="00BA456C"/>
    <w:rsid w:val="00BB22A1"/>
    <w:rsid w:val="00BB286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26BB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unhideWhenUsed/>
    <w:rsid w:val="00BA441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Hyperlink"/>
    <w:basedOn w:val="a1"/>
    <w:uiPriority w:val="99"/>
    <w:semiHidden/>
    <w:unhideWhenUsed/>
    <w:rsid w:val="00BA4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7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2020-04-09T09:32:00Z</cp:lastPrinted>
  <dcterms:created xsi:type="dcterms:W3CDTF">2020-04-09T08:28:00Z</dcterms:created>
  <dcterms:modified xsi:type="dcterms:W3CDTF">2020-04-09T09:33:00Z</dcterms:modified>
</cp:coreProperties>
</file>