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46" w:rsidRPr="009E7A19" w:rsidRDefault="00633946" w:rsidP="00C65F2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Pr="009E7A1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11.2019 г. № 279</w:t>
      </w:r>
    </w:p>
    <w:p w:rsidR="00633946" w:rsidRPr="009E7A19" w:rsidRDefault="00633946" w:rsidP="00C65F2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3946" w:rsidRPr="009E7A19" w:rsidRDefault="00633946" w:rsidP="00C65F2C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ИРКУТСКАЯ ОБЛАСТЬ</w:t>
      </w:r>
    </w:p>
    <w:p w:rsidR="00633946" w:rsidRPr="009E7A19" w:rsidRDefault="00633946" w:rsidP="00C65F2C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БАЯНДАЕВСКИЙ РАЙОН</w:t>
      </w:r>
    </w:p>
    <w:p w:rsidR="00633946" w:rsidRPr="009E7A19" w:rsidRDefault="00633946" w:rsidP="00C65F2C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633946" w:rsidRPr="009E7A19" w:rsidRDefault="00633946" w:rsidP="00C65F2C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АДМИНИСТРАЦИЯ</w:t>
      </w:r>
    </w:p>
    <w:p w:rsidR="00633946" w:rsidRPr="009E7A19" w:rsidRDefault="00633946" w:rsidP="00C65F2C">
      <w:pPr>
        <w:tabs>
          <w:tab w:val="left" w:pos="370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E7A19">
        <w:rPr>
          <w:rFonts w:ascii="Arial" w:hAnsi="Arial" w:cs="Arial"/>
          <w:b/>
          <w:sz w:val="32"/>
          <w:szCs w:val="32"/>
        </w:rPr>
        <w:t>ПОСТАНОВЛЕНИЕ</w:t>
      </w:r>
    </w:p>
    <w:p w:rsidR="00633946" w:rsidRPr="009E7A19" w:rsidRDefault="00633946" w:rsidP="00C65F2C">
      <w:pPr>
        <w:tabs>
          <w:tab w:val="left" w:pos="708"/>
          <w:tab w:val="center" w:pos="4677"/>
          <w:tab w:val="right" w:pos="9355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633946" w:rsidRDefault="00633946" w:rsidP="00C65F2C">
      <w:pPr>
        <w:tabs>
          <w:tab w:val="left" w:pos="708"/>
          <w:tab w:val="center" w:pos="4677"/>
          <w:tab w:val="right" w:pos="9355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b/>
          <w:bCs/>
          <w:sz w:val="32"/>
        </w:rPr>
      </w:pPr>
      <w:r w:rsidRPr="00AF7D1F">
        <w:rPr>
          <w:rFonts w:ascii="Arial" w:eastAsia="Calibri" w:hAnsi="Arial" w:cs="Arial"/>
          <w:b/>
          <w:bCs/>
          <w:sz w:val="32"/>
        </w:rPr>
        <w:t>О</w:t>
      </w:r>
      <w:r>
        <w:rPr>
          <w:rFonts w:ascii="Arial" w:eastAsia="Calibri" w:hAnsi="Arial" w:cs="Arial"/>
          <w:b/>
          <w:bCs/>
          <w:sz w:val="32"/>
        </w:rPr>
        <w:t>Б</w:t>
      </w:r>
      <w:r w:rsidR="00487A17">
        <w:rPr>
          <w:rFonts w:ascii="Arial" w:eastAsia="Calibri" w:hAnsi="Arial" w:cs="Arial"/>
          <w:b/>
          <w:bCs/>
          <w:sz w:val="32"/>
        </w:rPr>
        <w:t xml:space="preserve"> </w:t>
      </w:r>
      <w:r>
        <w:rPr>
          <w:rFonts w:ascii="Arial" w:eastAsia="Calibri" w:hAnsi="Arial" w:cs="Arial"/>
          <w:b/>
          <w:bCs/>
          <w:sz w:val="32"/>
        </w:rPr>
        <w:t>УСТАНОВЛЕНИИ ПЛАТЫ</w:t>
      </w:r>
    </w:p>
    <w:p w:rsidR="00633946" w:rsidRPr="001A0724" w:rsidRDefault="00633946" w:rsidP="00C65F2C">
      <w:pPr>
        <w:tabs>
          <w:tab w:val="left" w:pos="708"/>
          <w:tab w:val="center" w:pos="4677"/>
          <w:tab w:val="right" w:pos="9355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b/>
          <w:bCs/>
          <w:sz w:val="32"/>
        </w:rPr>
      </w:pPr>
      <w:r>
        <w:rPr>
          <w:rFonts w:ascii="Arial" w:eastAsia="Calibri" w:hAnsi="Arial" w:cs="Arial"/>
          <w:b/>
          <w:bCs/>
          <w:sz w:val="32"/>
        </w:rPr>
        <w:t xml:space="preserve">НА УСЛУГУ ОБЩЕСТВЕННОЙ БАНИ, ПРЕДОСТАВЛЯЕМОЙ ПОТРЕБИТЕЛЯМ </w:t>
      </w:r>
      <w:r w:rsidRPr="00AF7D1F">
        <w:rPr>
          <w:rFonts w:ascii="Arial" w:eastAsia="Calibri" w:hAnsi="Arial" w:cs="Arial"/>
          <w:b/>
          <w:bCs/>
          <w:sz w:val="32"/>
        </w:rPr>
        <w:t>МУП «Б</w:t>
      </w:r>
      <w:r>
        <w:rPr>
          <w:rFonts w:ascii="Arial" w:eastAsia="Calibri" w:hAnsi="Arial" w:cs="Arial"/>
          <w:b/>
          <w:bCs/>
          <w:sz w:val="32"/>
        </w:rPr>
        <w:t>ЫТОВИК</w:t>
      </w:r>
      <w:r w:rsidRPr="00AF7D1F">
        <w:rPr>
          <w:rFonts w:ascii="Arial" w:eastAsia="Calibri" w:hAnsi="Arial" w:cs="Arial"/>
          <w:b/>
          <w:bCs/>
          <w:sz w:val="32"/>
        </w:rPr>
        <w:t xml:space="preserve">» </w:t>
      </w: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65F2C">
        <w:rPr>
          <w:rFonts w:ascii="Arial" w:eastAsia="Calibri" w:hAnsi="Arial" w:cs="Arial"/>
          <w:sz w:val="24"/>
          <w:szCs w:val="24"/>
        </w:rPr>
        <w:t>Руководствуясь Федеральным законом от 6.10.2003 № 131-ФЗ «Об общих принципах организации местного самоуправления в Российской Федерации», Уставом муниципального образования «Баяндай»,</w:t>
      </w: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633946" w:rsidRPr="00F213A7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jc w:val="center"/>
        <w:rPr>
          <w:rFonts w:ascii="Arial" w:eastAsia="Calibri" w:hAnsi="Arial" w:cs="Arial"/>
          <w:sz w:val="32"/>
          <w:szCs w:val="32"/>
        </w:rPr>
      </w:pPr>
      <w:r w:rsidRPr="00F213A7">
        <w:rPr>
          <w:rFonts w:ascii="Arial" w:eastAsia="Calibri" w:hAnsi="Arial" w:cs="Arial"/>
          <w:b/>
          <w:sz w:val="32"/>
          <w:szCs w:val="32"/>
        </w:rPr>
        <w:t>ПОСТАНОВЛЯЮ:</w:t>
      </w: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65F2C">
        <w:rPr>
          <w:rFonts w:ascii="Arial" w:eastAsia="Calibri" w:hAnsi="Arial" w:cs="Arial"/>
          <w:sz w:val="24"/>
          <w:szCs w:val="24"/>
        </w:rPr>
        <w:t xml:space="preserve">1. Установить плату за услугу общественной бани, предоставляемой потребителям МУП «Бытовик», на территории муниципального образования «Баяндай» в размере </w:t>
      </w:r>
      <w:r w:rsidRPr="00C65F2C">
        <w:rPr>
          <w:rFonts w:ascii="Arial" w:eastAsia="Calibri" w:hAnsi="Arial" w:cs="Arial"/>
          <w:b/>
          <w:sz w:val="24"/>
          <w:szCs w:val="24"/>
        </w:rPr>
        <w:t xml:space="preserve">160 рублей за разовое посещение. </w:t>
      </w:r>
      <w:r w:rsidRPr="00C65F2C">
        <w:rPr>
          <w:rFonts w:ascii="Arial" w:eastAsia="Calibri" w:hAnsi="Arial" w:cs="Arial"/>
          <w:sz w:val="24"/>
          <w:szCs w:val="24"/>
        </w:rPr>
        <w:t>(НДС не облагается), для всех потребителей.</w:t>
      </w: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65F2C">
        <w:rPr>
          <w:rFonts w:ascii="Arial" w:eastAsia="Calibri" w:hAnsi="Arial" w:cs="Arial"/>
          <w:sz w:val="24"/>
          <w:szCs w:val="24"/>
        </w:rPr>
        <w:t>2. Плата, установленная в пункте 1 настоящего постановления, действуют с 15 ноября 2019 года.</w:t>
      </w: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65F2C">
        <w:rPr>
          <w:rFonts w:ascii="Arial" w:eastAsia="Calibri" w:hAnsi="Arial" w:cs="Arial"/>
          <w:sz w:val="24"/>
          <w:szCs w:val="24"/>
        </w:rPr>
        <w:t>3. Признать утратившим силу с 15 ноября 2019 года постановления главы муниципального образования «Баяндай» от 23.05.2018 года № 140 «Об установлении платы на услугу по вывозу ТБО и услугу общественной бани, предоставляемых потребителям МУП «Бытовик»».</w:t>
      </w:r>
    </w:p>
    <w:p w:rsidR="00633946" w:rsidRPr="00C65F2C" w:rsidRDefault="00C65F2C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65F2C">
        <w:rPr>
          <w:rFonts w:ascii="Arial" w:eastAsia="Calibri" w:hAnsi="Arial" w:cs="Arial"/>
          <w:sz w:val="24"/>
          <w:szCs w:val="24"/>
        </w:rPr>
        <w:t xml:space="preserve">4. </w:t>
      </w:r>
      <w:r w:rsidR="00633946" w:rsidRPr="00C65F2C">
        <w:rPr>
          <w:rFonts w:ascii="Arial" w:eastAsia="Calibri" w:hAnsi="Arial" w:cs="Arial"/>
          <w:sz w:val="24"/>
          <w:szCs w:val="24"/>
        </w:rPr>
        <w:t xml:space="preserve">Настоящее постановление подлежит официальному опубликованию. </w:t>
      </w: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65F2C">
        <w:rPr>
          <w:rFonts w:ascii="Arial" w:eastAsia="Calibri" w:hAnsi="Arial" w:cs="Arial"/>
          <w:sz w:val="24"/>
          <w:szCs w:val="24"/>
        </w:rPr>
        <w:t>И.о главы МО «Баяндай»</w:t>
      </w:r>
    </w:p>
    <w:p w:rsidR="00633946" w:rsidRPr="00C65F2C" w:rsidRDefault="00633946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C65F2C">
        <w:rPr>
          <w:rFonts w:ascii="Arial" w:eastAsia="Calibri" w:hAnsi="Arial" w:cs="Arial"/>
          <w:sz w:val="24"/>
          <w:szCs w:val="24"/>
        </w:rPr>
        <w:t xml:space="preserve">З.И. </w:t>
      </w:r>
      <w:proofErr w:type="spellStart"/>
      <w:r w:rsidRPr="00C65F2C">
        <w:rPr>
          <w:rFonts w:ascii="Arial" w:eastAsia="Calibri" w:hAnsi="Arial" w:cs="Arial"/>
          <w:sz w:val="24"/>
          <w:szCs w:val="24"/>
        </w:rPr>
        <w:t>Андреянов</w:t>
      </w:r>
      <w:proofErr w:type="spellEnd"/>
    </w:p>
    <w:p w:rsidR="00C65F2C" w:rsidRPr="00C65F2C" w:rsidRDefault="00C65F2C" w:rsidP="00C65F2C">
      <w:pPr>
        <w:tabs>
          <w:tab w:val="left" w:pos="708"/>
          <w:tab w:val="center" w:pos="4677"/>
          <w:tab w:val="right" w:pos="9355"/>
        </w:tabs>
        <w:spacing w:before="360" w:after="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633946" w:rsidRPr="00A752B4" w:rsidRDefault="00633946" w:rsidP="00C65F2C">
      <w:pPr>
        <w:tabs>
          <w:tab w:val="left" w:pos="708"/>
          <w:tab w:val="center" w:pos="4677"/>
          <w:tab w:val="right" w:pos="9355"/>
        </w:tabs>
        <w:contextualSpacing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br w:type="page"/>
      </w:r>
    </w:p>
    <w:p w:rsidR="00633946" w:rsidRDefault="00633946" w:rsidP="00C65F2C">
      <w:pPr>
        <w:rPr>
          <w:rFonts w:ascii="Arial" w:eastAsia="Calibri" w:hAnsi="Arial" w:cs="Arial"/>
          <w:color w:val="000000"/>
        </w:rPr>
        <w:sectPr w:rsidR="00633946" w:rsidSect="008630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946" w:rsidRPr="007F139B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right"/>
        <w:rPr>
          <w:rFonts w:ascii="Courier New" w:eastAsia="Calibri" w:hAnsi="Courier New" w:cs="Courier New"/>
          <w:color w:val="000000"/>
        </w:rPr>
      </w:pPr>
      <w:r w:rsidRPr="007F139B">
        <w:rPr>
          <w:rFonts w:ascii="Courier New" w:eastAsia="Calibri" w:hAnsi="Courier New" w:cs="Courier New"/>
          <w:color w:val="000000"/>
        </w:rPr>
        <w:lastRenderedPageBreak/>
        <w:t>Приложение № 1</w:t>
      </w:r>
    </w:p>
    <w:p w:rsidR="00633946" w:rsidRPr="007F139B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right"/>
        <w:rPr>
          <w:rFonts w:ascii="Courier New" w:eastAsia="Calibri" w:hAnsi="Courier New" w:cs="Courier New"/>
          <w:color w:val="000000"/>
        </w:rPr>
      </w:pPr>
      <w:r w:rsidRPr="007F139B">
        <w:rPr>
          <w:rFonts w:ascii="Courier New" w:eastAsia="Calibri" w:hAnsi="Courier New" w:cs="Courier New"/>
          <w:color w:val="000000"/>
        </w:rPr>
        <w:t>к постановлению</w:t>
      </w:r>
    </w:p>
    <w:p w:rsidR="00633946" w:rsidRPr="007F139B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и.о. главы МО «Баяндай»</w:t>
      </w:r>
    </w:p>
    <w:p w:rsidR="00633946" w:rsidRPr="007F139B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right"/>
        <w:rPr>
          <w:rFonts w:ascii="Courier New" w:eastAsia="Calibri" w:hAnsi="Courier New" w:cs="Courier New"/>
          <w:color w:val="000000"/>
        </w:rPr>
      </w:pPr>
      <w:r w:rsidRPr="007F139B">
        <w:rPr>
          <w:rFonts w:ascii="Courier New" w:eastAsia="Calibri" w:hAnsi="Courier New" w:cs="Courier New"/>
          <w:color w:val="000000"/>
        </w:rPr>
        <w:t xml:space="preserve">от </w:t>
      </w:r>
      <w:r>
        <w:rPr>
          <w:rFonts w:ascii="Courier New" w:eastAsia="Calibri" w:hAnsi="Courier New" w:cs="Courier New"/>
          <w:color w:val="000000"/>
        </w:rPr>
        <w:t>14.11.</w:t>
      </w:r>
      <w:r w:rsidRPr="007F139B">
        <w:rPr>
          <w:rFonts w:ascii="Courier New" w:eastAsia="Calibri" w:hAnsi="Courier New" w:cs="Courier New"/>
          <w:color w:val="000000"/>
        </w:rPr>
        <w:t>201</w:t>
      </w:r>
      <w:r>
        <w:rPr>
          <w:rFonts w:ascii="Courier New" w:eastAsia="Calibri" w:hAnsi="Courier New" w:cs="Courier New"/>
          <w:color w:val="000000"/>
        </w:rPr>
        <w:t xml:space="preserve">9 </w:t>
      </w:r>
      <w:r w:rsidRPr="007F139B">
        <w:rPr>
          <w:rFonts w:ascii="Courier New" w:eastAsia="Calibri" w:hAnsi="Courier New" w:cs="Courier New"/>
          <w:color w:val="000000"/>
        </w:rPr>
        <w:t>года</w:t>
      </w:r>
      <w:r>
        <w:rPr>
          <w:rFonts w:ascii="Courier New" w:eastAsia="Calibri" w:hAnsi="Courier New" w:cs="Courier New"/>
          <w:color w:val="000000"/>
        </w:rPr>
        <w:t xml:space="preserve"> № 279</w:t>
      </w:r>
    </w:p>
    <w:p w:rsidR="00633946" w:rsidRDefault="00633946" w:rsidP="00633946">
      <w:pPr>
        <w:rPr>
          <w:rFonts w:ascii="Arial" w:eastAsia="Calibri" w:hAnsi="Arial" w:cs="Arial"/>
          <w:color w:val="000000"/>
        </w:rPr>
      </w:pPr>
    </w:p>
    <w:p w:rsidR="00633946" w:rsidRPr="00C65F2C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65F2C">
        <w:rPr>
          <w:rFonts w:ascii="Arial" w:eastAsia="Calibri" w:hAnsi="Arial" w:cs="Arial"/>
          <w:b/>
          <w:color w:val="000000"/>
          <w:sz w:val="24"/>
          <w:szCs w:val="24"/>
        </w:rPr>
        <w:t>Расчет необходимой валовой выручки методом экономически</w:t>
      </w:r>
    </w:p>
    <w:p w:rsidR="00633946" w:rsidRPr="00C65F2C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65F2C">
        <w:rPr>
          <w:rFonts w:ascii="Arial" w:eastAsia="Calibri" w:hAnsi="Arial" w:cs="Arial"/>
          <w:b/>
          <w:color w:val="000000"/>
          <w:sz w:val="24"/>
          <w:szCs w:val="24"/>
        </w:rPr>
        <w:t xml:space="preserve">обоснованных расходов (затрат) на услуги общественной бани, </w:t>
      </w:r>
    </w:p>
    <w:p w:rsidR="00633946" w:rsidRPr="00C65F2C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65F2C">
        <w:rPr>
          <w:rFonts w:ascii="Arial" w:eastAsia="Calibri" w:hAnsi="Arial" w:cs="Arial"/>
          <w:b/>
          <w:color w:val="000000"/>
          <w:sz w:val="24"/>
          <w:szCs w:val="24"/>
        </w:rPr>
        <w:t>осуществляемое муниципальным унитарным предприятием «Бытовик»</w:t>
      </w:r>
    </w:p>
    <w:p w:rsidR="00633946" w:rsidRPr="00A752B4" w:rsidRDefault="00633946" w:rsidP="00633946">
      <w:pPr>
        <w:tabs>
          <w:tab w:val="left" w:pos="708"/>
          <w:tab w:val="center" w:pos="4677"/>
          <w:tab w:val="right" w:pos="9355"/>
        </w:tabs>
        <w:contextualSpacing/>
        <w:jc w:val="center"/>
        <w:rPr>
          <w:rFonts w:ascii="Arial" w:eastAsia="Calibri" w:hAnsi="Arial" w:cs="Arial"/>
          <w:b/>
          <w:color w:val="000000"/>
        </w:rPr>
      </w:pPr>
    </w:p>
    <w:tbl>
      <w:tblPr>
        <w:tblStyle w:val="a4"/>
        <w:tblW w:w="14850" w:type="dxa"/>
        <w:tblLook w:val="04A0"/>
      </w:tblPr>
      <w:tblGrid>
        <w:gridCol w:w="745"/>
        <w:gridCol w:w="2921"/>
        <w:gridCol w:w="1577"/>
        <w:gridCol w:w="6164"/>
        <w:gridCol w:w="3443"/>
      </w:tblGrid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№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Наименование расхода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Сумма расхода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Расчет прогноза и </w:t>
            </w: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основание</w:t>
            </w:r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по которым произведен прогноз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Примечание</w:t>
            </w: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Расходы на оплату труда производственных рабочих (оператор котельной,  технический работник), </w:t>
            </w: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в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22 526,4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Расходы на оплату труда приняты в соответствии с Федеральным законом от 28.12.2017 № 421-ФЗ "О внесении изменений в отдельные законодательные акты Российской Федерации в части повышения минимального </w:t>
            </w: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размера оплаты труда</w:t>
            </w:r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до прожиточного минимума трудоспособного населения" и равны 22526,4 рублей. 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Численность рабочих составляет – 2 человека на 0,5 ст.</w:t>
            </w: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1.1.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численность, чел.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2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Принята</w:t>
            </w:r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на уровне базового периода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1.2.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средняя </w:t>
            </w:r>
            <w:proofErr w:type="spellStart"/>
            <w:r w:rsidRPr="00C65F2C">
              <w:rPr>
                <w:rFonts w:ascii="Courier New" w:eastAsia="Calibri" w:hAnsi="Courier New" w:cs="Courier New"/>
                <w:color w:val="000000"/>
              </w:rPr>
              <w:t>з</w:t>
            </w:r>
            <w:proofErr w:type="spellEnd"/>
            <w:r w:rsidRPr="00C65F2C">
              <w:rPr>
                <w:rFonts w:ascii="Courier New" w:eastAsia="Calibri" w:hAnsi="Courier New" w:cs="Courier New"/>
                <w:color w:val="000000"/>
              </w:rPr>
              <w:t>/</w:t>
            </w:r>
            <w:proofErr w:type="spellStart"/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п</w:t>
            </w:r>
            <w:proofErr w:type="spellEnd"/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>,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9024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22526,4/2=11263,2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  <w:lang w:val="en-US"/>
              </w:rPr>
              <w:t>2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>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Отчисления на социальные нужды производственных рабочих, руб./мес. 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6802,9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Размер страховых взносов в государственные внебюджетные фонды определен исходя из принятого в расчете тарифа фонда оплаты труда и суммарного тарифа страховых взносов в размере 30,2%.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lastRenderedPageBreak/>
              <w:t>3.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Расходы на оплату АУП,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4505,28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Расходы на оплату труда административно-управленческому персоналу приняты в размере 20% от оплаты труда производственных рабочих.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Численность АУП составляет – 1 человек. </w:t>
            </w: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3.1.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численность, чел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Принято на уровне базового периода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3.2.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средняя </w:t>
            </w:r>
            <w:proofErr w:type="spellStart"/>
            <w:r w:rsidRPr="00C65F2C">
              <w:rPr>
                <w:rFonts w:ascii="Courier New" w:eastAsia="Calibri" w:hAnsi="Courier New" w:cs="Courier New"/>
                <w:color w:val="000000"/>
              </w:rPr>
              <w:t>з</w:t>
            </w:r>
            <w:proofErr w:type="spellEnd"/>
            <w:r w:rsidRPr="00C65F2C">
              <w:rPr>
                <w:rFonts w:ascii="Courier New" w:eastAsia="Calibri" w:hAnsi="Courier New" w:cs="Courier New"/>
                <w:color w:val="000000"/>
              </w:rPr>
              <w:t>/</w:t>
            </w:r>
            <w:proofErr w:type="spellStart"/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п</w:t>
            </w:r>
            <w:proofErr w:type="spellEnd"/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>,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3609,6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4505,28 / 1 = 4509,6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4.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Отчисления на социальные нужды,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1360,6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Размер страховых взносов в государственные внебюджетные фонды определен исходя из принятого в расчете тарифа фонда оплаты труда и суммарного тарифа страховых взносов в размере 30,2%.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5.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Амортизация здания  бани,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1611,36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В связи с тем, что Предприятием не </w:t>
            </w: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предоставлено обоснование оценочной стоимости зданий водонапорных башен по состоянию на четвертый квартал 2019 года к расчету приняты</w:t>
            </w:r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данные на уровне базового периода стоимостью 483406,78 рублей.</w:t>
            </w:r>
          </w:p>
          <w:p w:rsidR="00633946" w:rsidRPr="00C65F2C" w:rsidRDefault="00C65F2C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В расчете применен </w:t>
            </w:r>
            <w:r w:rsidR="00633946" w:rsidRPr="00C65F2C">
              <w:rPr>
                <w:rFonts w:ascii="Courier New" w:eastAsia="Calibri" w:hAnsi="Courier New" w:cs="Courier New"/>
                <w:color w:val="000000"/>
              </w:rPr>
              <w:t xml:space="preserve">линейный способ начисления, исходя из первоначальной стоимости или (текущей (восстановительной) стоимости (в случае проведения переоценки) объекта основных средств и нормы амортизации, исчисленной исходя из срока полезного использования этого объекта </w:t>
            </w:r>
            <w:r w:rsidR="00633946" w:rsidRPr="00C65F2C">
              <w:rPr>
                <w:rFonts w:ascii="Courier New" w:eastAsia="Calibri" w:hAnsi="Courier New" w:cs="Courier New"/>
              </w:rPr>
              <w:t>(</w:t>
            </w:r>
            <w:hyperlink r:id="rId4" w:tooltip="Приказ Минфина РФ от 03.09.1997 N 65н (ред. от 24.03.2000, с изм. от 23.08.2000) &quot;Об утверждении Положения по бухгалтерскому учету &quot;Учет основных средств&quot; ПБУ 6/97&quot; (Зарегистрировано в Минюсте РФ 13.01.1998 N 1451)------------ Утратил силу{КонсультантПлюс}" w:history="1">
              <w:r w:rsidR="00633946" w:rsidRPr="00C65F2C">
                <w:rPr>
                  <w:rStyle w:val="a3"/>
                  <w:rFonts w:ascii="Courier New" w:eastAsia="Calibri" w:hAnsi="Courier New" w:cs="Courier New"/>
                  <w:color w:val="auto"/>
                </w:rPr>
                <w:t>Приказ</w:t>
              </w:r>
            </w:hyperlink>
            <w:r w:rsidR="00633946" w:rsidRPr="00C65F2C">
              <w:rPr>
                <w:rFonts w:ascii="Courier New" w:eastAsia="Calibri" w:hAnsi="Courier New" w:cs="Courier New"/>
                <w:color w:val="000000"/>
              </w:rPr>
              <w:t xml:space="preserve"> Министерства финансов Российской Федерации от 30 марта 2001 г. N 26н "Об утверждении Положения по бухгалтерскому учету "Учет </w:t>
            </w:r>
            <w:r w:rsidR="00633946" w:rsidRPr="00C65F2C">
              <w:rPr>
                <w:rFonts w:ascii="Courier New" w:eastAsia="Calibri" w:hAnsi="Courier New" w:cs="Courier New"/>
                <w:color w:val="000000"/>
              </w:rPr>
              <w:lastRenderedPageBreak/>
              <w:t>основных средств" ПБУ 6/01")</w:t>
            </w:r>
            <w:proofErr w:type="gramEnd"/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483406,78 * 4 / 12 = 1611,36 месячная амортизация.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lastRenderedPageBreak/>
              <w:t>8.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Текущий ремонт и техническое обслуживание,  руб./</w:t>
            </w:r>
            <w:proofErr w:type="spellStart"/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322,28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Текущий ремонт и техническое обслуживание  принято в размере 20% от амортизации здания.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9.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Затраты на отопление помещения и нагрев воды,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17 479,6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9.1.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Электрическая энергия, руб.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9 224,6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Среднемесячное потребление электрической энергии составляет 5350 кВт.</w:t>
            </w: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2396 * 3,85 = 9 224,6 рублей.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Тариф на электрическую энергию по прогнозу на 2020 год составляет 3 рубля 85 копеек.</w:t>
            </w: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9.2.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Твердое топливо (дрова), руб.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8255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Среднемесячное потребление твердого топлива (дрова) составляет 6,8 м3. Стоимость дров с доставкой составляет 1214 руб./м3.</w:t>
            </w: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1214 * 6,8 = 8255 рублей.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10.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Подвоз воды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18044,1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Тариф на подвоз воды до 30.07.2020 составляет  400,98 </w:t>
            </w:r>
            <w:proofErr w:type="spellStart"/>
            <w:r w:rsidRPr="00C65F2C">
              <w:rPr>
                <w:rFonts w:ascii="Courier New" w:eastAsia="Calibri" w:hAnsi="Courier New" w:cs="Courier New"/>
                <w:color w:val="000000"/>
              </w:rPr>
              <w:t>руб</w:t>
            </w:r>
            <w:proofErr w:type="spellEnd"/>
            <w:r w:rsidRPr="00C65F2C">
              <w:rPr>
                <w:rFonts w:ascii="Courier New" w:eastAsia="Calibri" w:hAnsi="Courier New" w:cs="Courier New"/>
                <w:color w:val="000000"/>
              </w:rPr>
              <w:t>/куб.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Количество подвозимой воды составляет 45 м3 в месяц.</w:t>
            </w: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11.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Затраты по разделу «Охрана труда», руб./мес.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 xml:space="preserve">1750 </w:t>
            </w:r>
          </w:p>
        </w:tc>
        <w:tc>
          <w:tcPr>
            <w:tcW w:w="6175" w:type="dxa"/>
          </w:tcPr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Приказу Министерства здравоохранения и социального развития Российской Федерации от 25 апреля 2011 г. N 340н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Типовые нормы </w:t>
            </w: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СИЗ</w:t>
            </w:r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>:</w:t>
            </w:r>
          </w:p>
          <w:p w:rsidR="00633946" w:rsidRPr="00C65F2C" w:rsidRDefault="00C65F2C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Костюм для защиты от </w:t>
            </w: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общих</w:t>
            </w:r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="00633946" w:rsidRPr="00C65F2C">
              <w:rPr>
                <w:rFonts w:ascii="Courier New" w:eastAsia="Calibri" w:hAnsi="Courier New" w:cs="Courier New"/>
                <w:color w:val="000000"/>
              </w:rPr>
              <w:t>1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lastRenderedPageBreak/>
              <w:t xml:space="preserve"> производственных загрязнений и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механических воздействий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Ботинки кожаные с</w:t>
            </w:r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 защитным под носком 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>1 пара</w:t>
            </w:r>
            <w:proofErr w:type="gramEnd"/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или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Сапоги ко</w:t>
            </w:r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жаные с защитным под носком 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>1 пара</w:t>
            </w:r>
            <w:proofErr w:type="gramEnd"/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Перчатки </w:t>
            </w:r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с полимерным покрытием 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>12 пар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На наружных работах зимой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дополнительно: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Костюм на утеп</w:t>
            </w:r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ляющей прокладке 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>по поясам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Ботинки кожаные утепленные </w:t>
            </w:r>
            <w:proofErr w:type="gramStart"/>
            <w:r w:rsidRPr="00C65F2C">
              <w:rPr>
                <w:rFonts w:ascii="Courier New" w:eastAsia="Calibri" w:hAnsi="Courier New" w:cs="Courier New"/>
                <w:color w:val="000000"/>
              </w:rPr>
              <w:t>с</w:t>
            </w:r>
            <w:proofErr w:type="gramEnd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защитным   по поясам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proofErr w:type="spellStart"/>
            <w:r w:rsidRPr="00C65F2C">
              <w:rPr>
                <w:rFonts w:ascii="Courier New" w:eastAsia="Calibri" w:hAnsi="Courier New" w:cs="Courier New"/>
                <w:color w:val="000000"/>
              </w:rPr>
              <w:t>подноском</w:t>
            </w:r>
            <w:proofErr w:type="spellEnd"/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или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Сапоги </w:t>
            </w:r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кожаные утепленные </w:t>
            </w:r>
            <w:proofErr w:type="gramStart"/>
            <w:r w:rsidR="00C65F2C" w:rsidRPr="00C65F2C">
              <w:rPr>
                <w:rFonts w:ascii="Courier New" w:eastAsia="Calibri" w:hAnsi="Courier New" w:cs="Courier New"/>
                <w:color w:val="000000"/>
              </w:rPr>
              <w:t>с</w:t>
            </w:r>
            <w:proofErr w:type="gramEnd"/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 защитным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по поясам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proofErr w:type="spellStart"/>
            <w:r w:rsidRPr="00C65F2C">
              <w:rPr>
                <w:rFonts w:ascii="Courier New" w:eastAsia="Calibri" w:hAnsi="Courier New" w:cs="Courier New"/>
                <w:color w:val="000000"/>
              </w:rPr>
              <w:t>подноском</w:t>
            </w:r>
            <w:proofErr w:type="spellEnd"/>
            <w:r w:rsidRPr="00C65F2C">
              <w:rPr>
                <w:rFonts w:ascii="Courier New" w:eastAsia="Calibri" w:hAnsi="Courier New" w:cs="Courier New"/>
                <w:color w:val="000000"/>
              </w:rPr>
              <w:t>, или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Валенки</w:t>
            </w:r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 с резиновым низом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по поясам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Перчатки </w:t>
            </w:r>
            <w:r w:rsidR="00C65F2C" w:rsidRPr="00C65F2C">
              <w:rPr>
                <w:rFonts w:ascii="Courier New" w:eastAsia="Calibri" w:hAnsi="Courier New" w:cs="Courier New"/>
                <w:color w:val="000000"/>
              </w:rPr>
              <w:t xml:space="preserve">с полимерным покрытием 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>1 пара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морозостойкие с утепляющими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вкладышами</w:t>
            </w:r>
          </w:p>
          <w:p w:rsidR="00633946" w:rsidRPr="00C65F2C" w:rsidRDefault="00633946" w:rsidP="00C65F2C">
            <w:pPr>
              <w:spacing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  <w:lang w:val="en-US"/>
              </w:rPr>
              <w:t>CBP</w:t>
            </w:r>
            <w:r w:rsidRPr="00C65F2C">
              <w:rPr>
                <w:rFonts w:ascii="Courier New" w:eastAsia="Calibri" w:hAnsi="Courier New" w:cs="Courier New"/>
                <w:color w:val="000000"/>
              </w:rPr>
              <w:t xml:space="preserve"> = (1950+1840+660+3500+2200+350х2=21000:12мес.= 1750</w:t>
            </w: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lastRenderedPageBreak/>
              <w:t>Численность производственных рабочих (оператор котельной, технический работник)- 2 человека;</w:t>
            </w:r>
          </w:p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lastRenderedPageBreak/>
              <w:t>12.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Итого затрат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74 402,52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13.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Среднемесячное количество посетителей, чел.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465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633946" w:rsidRPr="00C65F2C" w:rsidTr="00C65F2C">
        <w:tc>
          <w:tcPr>
            <w:tcW w:w="584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14.</w:t>
            </w:r>
          </w:p>
        </w:tc>
        <w:tc>
          <w:tcPr>
            <w:tcW w:w="2968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color w:val="000000"/>
              </w:rPr>
              <w:t>Итого стоимость услуг (помывка 1 чел.), руб.</w:t>
            </w:r>
          </w:p>
        </w:tc>
        <w:tc>
          <w:tcPr>
            <w:tcW w:w="1591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b/>
                <w:color w:val="000000"/>
              </w:rPr>
            </w:pPr>
            <w:r w:rsidRPr="00C65F2C">
              <w:rPr>
                <w:rFonts w:ascii="Courier New" w:eastAsia="Calibri" w:hAnsi="Courier New" w:cs="Courier New"/>
                <w:b/>
                <w:color w:val="000000"/>
              </w:rPr>
              <w:t>160</w:t>
            </w:r>
          </w:p>
        </w:tc>
        <w:tc>
          <w:tcPr>
            <w:tcW w:w="6175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  <w:tc>
          <w:tcPr>
            <w:tcW w:w="3532" w:type="dxa"/>
          </w:tcPr>
          <w:p w:rsidR="00633946" w:rsidRPr="00C65F2C" w:rsidRDefault="00633946" w:rsidP="00945B86">
            <w:pPr>
              <w:spacing w:after="200" w:line="276" w:lineRule="auto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C65F2C" w:rsidRDefault="00C65F2C" w:rsidP="00633946">
      <w:pPr>
        <w:rPr>
          <w:rFonts w:ascii="Arial" w:eastAsia="Calibri" w:hAnsi="Arial" w:cs="Arial"/>
          <w:color w:val="000000"/>
        </w:rPr>
      </w:pPr>
    </w:p>
    <w:p w:rsidR="00C65F2C" w:rsidRDefault="00C65F2C" w:rsidP="00633946">
      <w:pPr>
        <w:rPr>
          <w:rFonts w:ascii="Arial" w:eastAsia="Calibri" w:hAnsi="Arial" w:cs="Arial"/>
          <w:color w:val="000000"/>
        </w:rPr>
        <w:sectPr w:rsidR="00C65F2C" w:rsidSect="00A752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5ECA" w:rsidRDefault="002E5ECA" w:rsidP="00C65F2C"/>
    <w:sectPr w:rsidR="002E5ECA" w:rsidSect="002E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33946"/>
    <w:rsid w:val="002E5ECA"/>
    <w:rsid w:val="00487A17"/>
    <w:rsid w:val="00633946"/>
    <w:rsid w:val="007B202B"/>
    <w:rsid w:val="00C6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9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339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D800B750A4F9757DDA19B71DA9429ADC6F86F1D5B19891323C99F1AB7J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Оксана1</dc:creator>
  <cp:keywords/>
  <dc:description/>
  <cp:lastModifiedBy>Оксана1</cp:lastModifiedBy>
  <cp:revision>4</cp:revision>
  <cp:lastPrinted>2019-12-27T06:00:00Z</cp:lastPrinted>
  <dcterms:created xsi:type="dcterms:W3CDTF">2019-12-04T07:31:00Z</dcterms:created>
  <dcterms:modified xsi:type="dcterms:W3CDTF">2019-12-27T06:00:00Z</dcterms:modified>
</cp:coreProperties>
</file>